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enabsatz"/>
        <w:ind w:left="0"/>
        <w:rPr>
          <w:rFonts w:cs="Arial"/>
          <w:b/>
          <w:sz w:val="22"/>
          <w:szCs w:val="22"/>
        </w:rPr>
      </w:pPr>
    </w:p>
    <w:p>
      <w:pPr>
        <w:spacing w:line="276" w:lineRule="auto"/>
        <w:jc w:val="center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b/>
          <w:bCs/>
          <w:sz w:val="28"/>
          <w:szCs w:val="28"/>
          <w:lang w:eastAsia="en-US"/>
        </w:rPr>
        <w:t>Beschluss der Arbeitsrechtlichen Kommission</w:t>
      </w:r>
    </w:p>
    <w:p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28"/>
          <w:szCs w:val="28"/>
          <w:lang w:eastAsia="en-US"/>
        </w:rPr>
      </w:pPr>
      <w:r>
        <w:rPr>
          <w:rFonts w:eastAsia="Calibri" w:cs="Arial"/>
          <w:b/>
          <w:bCs/>
          <w:color w:val="000000"/>
          <w:sz w:val="28"/>
          <w:szCs w:val="28"/>
          <w:lang w:eastAsia="en-US"/>
        </w:rPr>
        <w:t>der Evangelisch-Lutherischen Kirche in Bayern</w:t>
      </w:r>
    </w:p>
    <w:p>
      <w:pPr>
        <w:tabs>
          <w:tab w:val="center" w:pos="4536"/>
          <w:tab w:val="right" w:pos="9072"/>
        </w:tabs>
        <w:jc w:val="center"/>
        <w:rPr>
          <w:rFonts w:cs="Arial"/>
          <w:bCs/>
          <w:sz w:val="22"/>
          <w:szCs w:val="22"/>
        </w:rPr>
      </w:pPr>
      <w:r>
        <w:rPr>
          <w:rFonts w:eastAsia="Calibri" w:cs="Arial"/>
          <w:b/>
          <w:bCs/>
          <w:sz w:val="28"/>
          <w:szCs w:val="28"/>
          <w:lang w:eastAsia="en-US"/>
        </w:rPr>
        <w:t>vom 21. Mai 2021 für den Geltungsbereich der AVR-Bayern</w:t>
      </w:r>
    </w:p>
    <w:p>
      <w:pPr>
        <w:tabs>
          <w:tab w:val="center" w:pos="4536"/>
          <w:tab w:val="right" w:pos="9072"/>
        </w:tabs>
        <w:rPr>
          <w:rFonts w:cs="Arial"/>
          <w:bCs/>
          <w:sz w:val="22"/>
          <w:szCs w:val="22"/>
        </w:rPr>
      </w:pPr>
    </w:p>
    <w:p>
      <w:pPr>
        <w:autoSpaceDE w:val="0"/>
        <w:autoSpaceDN w:val="0"/>
        <w:adjustRightInd w:val="0"/>
        <w:rPr>
          <w:rFonts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/>
          <w:color w:val="000000"/>
          <w:sz w:val="22"/>
          <w:szCs w:val="22"/>
          <w:lang w:eastAsia="en-US"/>
        </w:rPr>
        <w:t xml:space="preserve">Für den Geltungsbereich der AVR-Bayern fasst die Arbeitsrechtliche Kommission Bayern am 21. Mai 2021 den folgenden Beschluss: </w:t>
      </w:r>
    </w:p>
    <w:p>
      <w:pPr>
        <w:tabs>
          <w:tab w:val="center" w:pos="4536"/>
          <w:tab w:val="right" w:pos="9072"/>
        </w:tabs>
        <w:rPr>
          <w:rFonts w:cs="Arial"/>
          <w:bCs/>
          <w:sz w:val="22"/>
          <w:szCs w:val="22"/>
        </w:rPr>
      </w:pPr>
    </w:p>
    <w:p>
      <w:pPr>
        <w:pStyle w:val="Listenabsatz"/>
        <w:ind w:left="0"/>
        <w:rPr>
          <w:rFonts w:cs="Arial"/>
          <w:b/>
          <w:sz w:val="22"/>
          <w:szCs w:val="22"/>
        </w:rPr>
      </w:pPr>
    </w:p>
    <w:p>
      <w:pPr>
        <w:pStyle w:val="Listenabsatz"/>
        <w:ind w:left="0"/>
        <w:rPr>
          <w:rFonts w:cs="Arial"/>
          <w:b/>
          <w:sz w:val="22"/>
          <w:szCs w:val="22"/>
        </w:rPr>
      </w:pPr>
    </w:p>
    <w:p>
      <w:pPr>
        <w:jc w:val="left"/>
        <w:rPr>
          <w:rFonts w:cs="Arial"/>
          <w:b/>
          <w:bCs/>
          <w:color w:val="000000"/>
          <w:sz w:val="22"/>
          <w:szCs w:val="22"/>
        </w:rPr>
      </w:pPr>
      <w:r>
        <w:rPr>
          <w:rStyle w:val="Fett"/>
          <w:rFonts w:cs="Arial"/>
          <w:color w:val="000000"/>
          <w:sz w:val="22"/>
          <w:szCs w:val="22"/>
        </w:rPr>
        <w:t xml:space="preserve">Änderungen in der Ausbildung </w:t>
      </w:r>
      <w:proofErr w:type="gramStart"/>
      <w:r>
        <w:rPr>
          <w:rStyle w:val="Fett"/>
          <w:rFonts w:cs="Arial"/>
          <w:color w:val="000000"/>
          <w:sz w:val="22"/>
          <w:szCs w:val="22"/>
        </w:rPr>
        <w:t>zur Erzieher</w:t>
      </w:r>
      <w:proofErr w:type="gramEnd"/>
      <w:r>
        <w:rPr>
          <w:rStyle w:val="Fett"/>
          <w:rFonts w:cs="Arial"/>
          <w:color w:val="000000"/>
          <w:sz w:val="22"/>
          <w:szCs w:val="22"/>
        </w:rPr>
        <w:t xml:space="preserve">*in; Angleichung an die </w:t>
      </w:r>
      <w:proofErr w:type="spellStart"/>
      <w:r>
        <w:rPr>
          <w:rStyle w:val="Fett"/>
          <w:rFonts w:cs="Arial"/>
          <w:color w:val="000000"/>
          <w:sz w:val="22"/>
          <w:szCs w:val="22"/>
        </w:rPr>
        <w:t>DiVO</w:t>
      </w:r>
      <w:proofErr w:type="spellEnd"/>
    </w:p>
    <w:p>
      <w:pPr>
        <w:pStyle w:val="Listenabsatz"/>
        <w:ind w:left="0"/>
        <w:rPr>
          <w:rFonts w:cs="Arial"/>
          <w:b/>
          <w:sz w:val="22"/>
          <w:szCs w:val="22"/>
        </w:rPr>
      </w:pPr>
    </w:p>
    <w:p>
      <w:pPr>
        <w:ind w:right="72"/>
        <w:rPr>
          <w:rFonts w:cs="Arial"/>
          <w:b/>
          <w:sz w:val="22"/>
          <w:szCs w:val="22"/>
        </w:rPr>
      </w:pPr>
    </w:p>
    <w:p>
      <w:pPr>
        <w:ind w:right="72"/>
        <w:jc w:val="center"/>
        <w:rPr>
          <w:rFonts w:cs="Arial"/>
          <w:b/>
          <w:sz w:val="22"/>
          <w:szCs w:val="22"/>
        </w:rPr>
      </w:pPr>
    </w:p>
    <w:p>
      <w:pPr>
        <w:ind w:right="72"/>
        <w:jc w:val="center"/>
        <w:rPr>
          <w:rFonts w:cs="Arial"/>
          <w:b/>
          <w:sz w:val="22"/>
          <w:szCs w:val="22"/>
        </w:rPr>
      </w:pPr>
      <w:bookmarkStart w:id="0" w:name="OLE_LINK2"/>
      <w:bookmarkStart w:id="1" w:name="OLE_LINK3"/>
      <w:r>
        <w:rPr>
          <w:rFonts w:cs="Arial"/>
          <w:b/>
          <w:sz w:val="22"/>
          <w:szCs w:val="22"/>
        </w:rPr>
        <w:t>Arbeitsrechtsregelung zur Änderung der AVR-Bayern</w:t>
      </w:r>
    </w:p>
    <w:p>
      <w:pPr>
        <w:tabs>
          <w:tab w:val="left" w:pos="9000"/>
        </w:tabs>
        <w:ind w:right="72"/>
        <w:rPr>
          <w:rFonts w:cs="Arial"/>
          <w:sz w:val="22"/>
          <w:szCs w:val="22"/>
        </w:rPr>
      </w:pPr>
    </w:p>
    <w:p>
      <w:pPr>
        <w:tabs>
          <w:tab w:val="left" w:pos="9000"/>
        </w:tabs>
        <w:ind w:right="72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1</w:t>
      </w:r>
    </w:p>
    <w:p>
      <w:pPr>
        <w:tabs>
          <w:tab w:val="left" w:pos="9000"/>
        </w:tabs>
        <w:ind w:right="72"/>
        <w:rPr>
          <w:rFonts w:cs="Arial"/>
          <w:b/>
          <w:sz w:val="22"/>
          <w:szCs w:val="22"/>
        </w:rPr>
      </w:pPr>
    </w:p>
    <w:p>
      <w:pPr>
        <w:tabs>
          <w:tab w:val="left" w:pos="9000"/>
        </w:tabs>
        <w:ind w:right="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AVR-Bayern</w:t>
      </w:r>
      <w:bookmarkStart w:id="2" w:name="OLE_LINK1"/>
      <w:r>
        <w:rPr>
          <w:rFonts w:cs="Arial"/>
          <w:sz w:val="22"/>
          <w:szCs w:val="22"/>
        </w:rPr>
        <w:t xml:space="preserve">, zuletzt geändert durch ARK-Beschluss vom </w:t>
      </w:r>
      <w:bookmarkEnd w:id="2"/>
      <w:r>
        <w:rPr>
          <w:rFonts w:cs="Arial"/>
          <w:sz w:val="22"/>
          <w:szCs w:val="22"/>
        </w:rPr>
        <w:t xml:space="preserve">24. Februar 2021, wird wie folgt geändert: </w:t>
      </w:r>
    </w:p>
    <w:p>
      <w:pPr>
        <w:tabs>
          <w:tab w:val="left" w:pos="540"/>
          <w:tab w:val="left" w:pos="9000"/>
        </w:tabs>
        <w:ind w:right="72"/>
        <w:jc w:val="left"/>
        <w:rPr>
          <w:rFonts w:cs="Arial"/>
          <w:sz w:val="22"/>
          <w:szCs w:val="22"/>
        </w:rPr>
      </w:pPr>
    </w:p>
    <w:p>
      <w:pPr>
        <w:tabs>
          <w:tab w:val="left" w:pos="540"/>
          <w:tab w:val="left" w:pos="9000"/>
        </w:tabs>
        <w:ind w:right="72"/>
        <w:jc w:val="left"/>
        <w:rPr>
          <w:rFonts w:cs="Arial"/>
          <w:sz w:val="22"/>
          <w:szCs w:val="22"/>
        </w:rPr>
      </w:pPr>
    </w:p>
    <w:p>
      <w:pPr>
        <w:tabs>
          <w:tab w:val="left" w:pos="540"/>
          <w:tab w:val="left" w:pos="9000"/>
        </w:tabs>
        <w:ind w:right="7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1 Unterabsatz 1 und die ihn ergänzende Amtliche Anmerkung der Anlage 16 A. II. werden wie folgt neu gefasst:</w:t>
      </w:r>
    </w:p>
    <w:p>
      <w:pPr>
        <w:tabs>
          <w:tab w:val="left" w:pos="540"/>
          <w:tab w:val="left" w:pos="9000"/>
        </w:tabs>
        <w:jc w:val="left"/>
        <w:rPr>
          <w:rFonts w:cs="Arial"/>
          <w:sz w:val="22"/>
          <w:szCs w:val="22"/>
        </w:rPr>
      </w:pPr>
    </w:p>
    <w:p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absnr"/>
          <w:rFonts w:ascii="Arial" w:hAnsi="Arial" w:cs="Arial"/>
          <w:sz w:val="22"/>
          <w:szCs w:val="22"/>
        </w:rPr>
        <w:t>„(2)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satz"/>
          <w:rFonts w:ascii="Arial" w:hAnsi="Arial" w:cs="Arial"/>
          <w:sz w:val="22"/>
          <w:szCs w:val="22"/>
        </w:rPr>
        <w:t>Erzieherpraktikanten und Erzieherpraktikantinnen sowie sonstige Vorpraktikanten und Vorpraktikantinnen erhalten im ersten und zweiten Praktikumsjahr eine Vergütung in Höhe von monatlich mindestens 325 Euro.</w:t>
      </w:r>
      <w:r>
        <w:rPr>
          <w:rFonts w:ascii="Arial" w:hAnsi="Arial" w:cs="Arial"/>
          <w:sz w:val="22"/>
          <w:szCs w:val="22"/>
        </w:rPr>
        <w:t xml:space="preserve"> Dies gilt entsprechend für Teilnehmende im </w:t>
      </w:r>
      <w:r>
        <w:rPr>
          <w:rFonts w:ascii="Arial" w:hAnsi="Arial" w:cs="Arial"/>
          <w:color w:val="000000"/>
          <w:sz w:val="22"/>
          <w:szCs w:val="22"/>
        </w:rPr>
        <w:t>Sozialpädagogischen Einführungsjahr (SEJ).</w:t>
      </w:r>
    </w:p>
    <w:p>
      <w:pPr>
        <w:pStyle w:val="aufz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bookmarkStart w:id="3" w:name="Y-100-G-ELKBPRAKTVERGUETARR-P-2-X-2-N-UD"/>
      <w:bookmarkEnd w:id="3"/>
    </w:p>
    <w:p>
      <w:pPr>
        <w:pStyle w:val="aufz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Amtliche Anmerkung</w:t>
      </w:r>
    </w:p>
    <w:p>
      <w:pPr>
        <w:pStyle w:val="aufz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wird empfohlen, sich hierbei an den jeweils örtlich marktüblichen Vergütungshöhen zu orientieren. In Gebieten mit angespanntem Arbeitnehmerarbeitsmarkt wird eine Vergütung empfohlen von mindestens monatlich </w:t>
      </w:r>
    </w:p>
    <w:p>
      <w:pPr>
        <w:pStyle w:val="aufz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460 Euro im ersten Praktikumsjahr und </w:t>
      </w:r>
      <w:r>
        <w:rPr>
          <w:rFonts w:ascii="Arial" w:hAnsi="Arial" w:cs="Arial"/>
          <w:sz w:val="22"/>
          <w:szCs w:val="22"/>
        </w:rPr>
        <w:br/>
        <w:t>-</w:t>
      </w:r>
      <w:r>
        <w:rPr>
          <w:rFonts w:ascii="Arial" w:hAnsi="Arial" w:cs="Arial"/>
          <w:sz w:val="22"/>
          <w:szCs w:val="22"/>
        </w:rPr>
        <w:tab/>
        <w:t xml:space="preserve">510 Euro im zweiten Praktikumsjahr, dies gilt entsprechend für </w:t>
      </w:r>
      <w:r>
        <w:rPr>
          <w:rFonts w:ascii="Arial" w:hAnsi="Arial" w:cs="Arial"/>
          <w:sz w:val="22"/>
          <w:szCs w:val="22"/>
        </w:rPr>
        <w:tab/>
        <w:t xml:space="preserve">Teilnehmende im </w:t>
      </w:r>
      <w:r>
        <w:rPr>
          <w:rFonts w:ascii="Arial" w:hAnsi="Arial" w:cs="Arial"/>
          <w:color w:val="000000"/>
          <w:sz w:val="22"/>
          <w:szCs w:val="22"/>
        </w:rPr>
        <w:t>Sozialpädagogischen Einführungsjahr (SEJ).“</w:t>
      </w:r>
    </w:p>
    <w:p>
      <w:pPr>
        <w:tabs>
          <w:tab w:val="left" w:pos="540"/>
          <w:tab w:val="left" w:pos="9000"/>
        </w:tabs>
        <w:ind w:right="72"/>
        <w:jc w:val="left"/>
        <w:rPr>
          <w:rFonts w:cs="Arial"/>
          <w:sz w:val="22"/>
          <w:szCs w:val="22"/>
        </w:rPr>
      </w:pPr>
    </w:p>
    <w:p>
      <w:pPr>
        <w:tabs>
          <w:tab w:val="left" w:pos="540"/>
          <w:tab w:val="left" w:pos="9000"/>
        </w:tabs>
        <w:ind w:right="72"/>
        <w:jc w:val="left"/>
        <w:rPr>
          <w:rFonts w:cs="Arial"/>
          <w:sz w:val="22"/>
          <w:szCs w:val="22"/>
        </w:rPr>
      </w:pPr>
    </w:p>
    <w:p>
      <w:pPr>
        <w:tabs>
          <w:tab w:val="left" w:pos="540"/>
          <w:tab w:val="left" w:pos="9000"/>
        </w:tabs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Begründung: </w:t>
      </w:r>
      <w:r>
        <w:rPr>
          <w:sz w:val="22"/>
          <w:szCs w:val="22"/>
        </w:rPr>
        <w:t xml:space="preserve">Es wird im Ausbildungsjahr 2021/2022 neben dem diesjährigen SPS auch ein einjähriges Sozialpädagogisches Einführungsjahr (SEJ) geben. Diese Ausbildung wird das SPS ab dem Ausbildungsjahr 2022/2023 vollumfänglich ersetzen. Letztendlich wird die Ausbildung ab 2022 somit von fünf auf vier Jahre zwingend verkürzt.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Das beigefügte Schaubild geht von einer durchschnittlichen Praktikumsvergütung im SEJ in Höhe von 400 € aus. Es wird wohl nur dann einen Verwaltungskostenzuschuss geben, wenn im SEJ künftig 500 € an Ausbildungsentgelt gezahlt wird.</w:t>
      </w:r>
      <w:bookmarkStart w:id="4" w:name="_GoBack"/>
      <w:bookmarkEnd w:id="4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Die Regelung entspricht </w:t>
      </w:r>
      <w:r>
        <w:rPr>
          <w:rFonts w:cs="Arial"/>
          <w:color w:val="000000"/>
          <w:sz w:val="22"/>
          <w:szCs w:val="22"/>
        </w:rPr>
        <w:t xml:space="preserve">§ 2 Abs. 2 </w:t>
      </w:r>
      <w:r>
        <w:rPr>
          <w:rStyle w:val="ltitle"/>
          <w:rFonts w:cs="Arial"/>
          <w:sz w:val="22"/>
          <w:szCs w:val="22"/>
        </w:rPr>
        <w:t xml:space="preserve">Arbeitsrechtsregelung über die Vergütung der vor Beginn oder während ihrer Schul- oder Hochschulausbildung tätigen Praktikanten und Praktikantinnen </w:t>
      </w:r>
      <w:r>
        <w:rPr>
          <w:rFonts w:cs="Arial"/>
          <w:sz w:val="22"/>
          <w:szCs w:val="22"/>
        </w:rPr>
        <w:t>(</w:t>
      </w:r>
      <w:r>
        <w:rPr>
          <w:rStyle w:val="regabbrev"/>
          <w:rFonts w:cs="Arial"/>
          <w:sz w:val="22"/>
          <w:szCs w:val="22"/>
        </w:rPr>
        <w:t>PraktVergütARR</w:t>
      </w:r>
      <w:r>
        <w:rPr>
          <w:rFonts w:cs="Arial"/>
          <w:sz w:val="22"/>
          <w:szCs w:val="22"/>
        </w:rPr>
        <w:t>) n. F., die von der ARK am 24.02.2021 verabschiedet wurde.</w:t>
      </w:r>
    </w:p>
    <w:p>
      <w:pPr>
        <w:tabs>
          <w:tab w:val="left" w:pos="540"/>
          <w:tab w:val="left" w:pos="9000"/>
        </w:tabs>
        <w:jc w:val="left"/>
        <w:rPr>
          <w:rFonts w:cs="Arial"/>
          <w:sz w:val="22"/>
          <w:szCs w:val="22"/>
        </w:rPr>
      </w:pPr>
    </w:p>
    <w:p>
      <w:pPr>
        <w:ind w:right="72"/>
        <w:jc w:val="center"/>
        <w:rPr>
          <w:rFonts w:cs="Arial"/>
          <w:b/>
          <w:sz w:val="22"/>
          <w:szCs w:val="22"/>
        </w:rPr>
      </w:pPr>
    </w:p>
    <w:p>
      <w:pPr>
        <w:ind w:right="72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2 Inkrafttreten</w:t>
      </w:r>
    </w:p>
    <w:p>
      <w:pPr>
        <w:ind w:right="72"/>
        <w:rPr>
          <w:rFonts w:cs="Arial"/>
          <w:sz w:val="22"/>
          <w:szCs w:val="22"/>
        </w:rPr>
      </w:pPr>
    </w:p>
    <w:p>
      <w:pPr>
        <w:ind w:right="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Diese Arbeitsrechtsregelung tritt mit Wirkung vom 1. September 2021 in Kraft.</w:t>
      </w:r>
    </w:p>
    <w:p>
      <w:pPr>
        <w:rPr>
          <w:rFonts w:cs="Arial"/>
          <w:sz w:val="22"/>
          <w:szCs w:val="22"/>
        </w:rPr>
      </w:pPr>
    </w:p>
    <w:p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1228725" cy="57213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-41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München, den 29.04./06.05.2021</w:t>
      </w:r>
    </w:p>
    <w:p>
      <w:pPr>
        <w:ind w:right="-4140"/>
        <w:jc w:val="left"/>
        <w:rPr>
          <w:rFonts w:cs="Arial"/>
          <w:sz w:val="22"/>
          <w:szCs w:val="22"/>
        </w:rPr>
      </w:pPr>
    </w:p>
    <w:p>
      <w:pPr>
        <w:ind w:right="-41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Gerhard Berlig</w:t>
      </w:r>
    </w:p>
    <w:p>
      <w:pPr>
        <w:ind w:right="-41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Geschäftsführer</w:t>
      </w:r>
    </w:p>
    <w:bookmarkEnd w:id="0"/>
    <w:bookmarkEnd w:id="1"/>
    <w:p>
      <w:pPr>
        <w:pStyle w:val="Listenabsatz"/>
        <w:ind w:left="0"/>
        <w:rPr>
          <w:rFonts w:cs="Arial"/>
          <w:sz w:val="22"/>
          <w:szCs w:val="22"/>
        </w:rPr>
      </w:pPr>
    </w:p>
    <w:p>
      <w:pPr>
        <w:pStyle w:val="Listenabsatz"/>
        <w:ind w:left="0"/>
        <w:rPr>
          <w:rFonts w:cs="Arial"/>
          <w:sz w:val="22"/>
          <w:szCs w:val="22"/>
        </w:rPr>
      </w:pPr>
    </w:p>
    <w:p>
      <w:pPr>
        <w:pStyle w:val="Listenabsatz"/>
        <w:ind w:left="0"/>
        <w:rPr>
          <w:rFonts w:cs="Arial"/>
          <w:sz w:val="22"/>
          <w:szCs w:val="22"/>
        </w:rPr>
      </w:pPr>
    </w:p>
    <w:p>
      <w:pPr>
        <w:pStyle w:val="Listenabsatz"/>
        <w:ind w:left="0"/>
        <w:rPr>
          <w:rFonts w:cs="Arial"/>
          <w:sz w:val="22"/>
          <w:szCs w:val="22"/>
        </w:rPr>
      </w:pPr>
    </w:p>
    <w:p>
      <w:pPr>
        <w:pStyle w:val="Listenabsatz"/>
        <w:ind w:left="0"/>
        <w:rPr>
          <w:rFonts w:cs="Arial"/>
          <w:sz w:val="22"/>
          <w:szCs w:val="22"/>
        </w:rPr>
      </w:pPr>
    </w:p>
    <w:sectPr>
      <w:headerReference w:type="default" r:id="rId9"/>
      <w:pgSz w:w="11907" w:h="16840"/>
      <w:pgMar w:top="1418" w:right="226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ind w:right="-3999"/>
      <w:rPr>
        <w:rFonts w:ascii="Arial" w:hAnsi="Arial" w:cs="Arial"/>
        <w:sz w:val="22"/>
        <w:szCs w:val="22"/>
      </w:rPr>
    </w:pPr>
  </w:p>
  <w:p>
    <w:pPr>
      <w:pStyle w:val="Kopfzeile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4EB"/>
    <w:multiLevelType w:val="hybridMultilevel"/>
    <w:tmpl w:val="D2C6B21C"/>
    <w:lvl w:ilvl="0" w:tplc="A9BAD8E2">
      <w:start w:val="1"/>
      <w:numFmt w:val="lowerLetter"/>
      <w:lvlText w:val="%1)"/>
      <w:lvlJc w:val="left"/>
      <w:pPr>
        <w:ind w:left="-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36" w:hanging="360"/>
      </w:pPr>
    </w:lvl>
    <w:lvl w:ilvl="2" w:tplc="0407001B" w:tentative="1">
      <w:start w:val="1"/>
      <w:numFmt w:val="lowerRoman"/>
      <w:lvlText w:val="%3."/>
      <w:lvlJc w:val="right"/>
      <w:pPr>
        <w:ind w:left="1156" w:hanging="180"/>
      </w:pPr>
    </w:lvl>
    <w:lvl w:ilvl="3" w:tplc="0407000F" w:tentative="1">
      <w:start w:val="1"/>
      <w:numFmt w:val="decimal"/>
      <w:lvlText w:val="%4."/>
      <w:lvlJc w:val="left"/>
      <w:pPr>
        <w:ind w:left="1876" w:hanging="360"/>
      </w:pPr>
    </w:lvl>
    <w:lvl w:ilvl="4" w:tplc="04070019" w:tentative="1">
      <w:start w:val="1"/>
      <w:numFmt w:val="lowerLetter"/>
      <w:lvlText w:val="%5."/>
      <w:lvlJc w:val="left"/>
      <w:pPr>
        <w:ind w:left="2596" w:hanging="360"/>
      </w:pPr>
    </w:lvl>
    <w:lvl w:ilvl="5" w:tplc="0407001B" w:tentative="1">
      <w:start w:val="1"/>
      <w:numFmt w:val="lowerRoman"/>
      <w:lvlText w:val="%6."/>
      <w:lvlJc w:val="right"/>
      <w:pPr>
        <w:ind w:left="3316" w:hanging="180"/>
      </w:pPr>
    </w:lvl>
    <w:lvl w:ilvl="6" w:tplc="0407000F" w:tentative="1">
      <w:start w:val="1"/>
      <w:numFmt w:val="decimal"/>
      <w:lvlText w:val="%7."/>
      <w:lvlJc w:val="left"/>
      <w:pPr>
        <w:ind w:left="4036" w:hanging="360"/>
      </w:pPr>
    </w:lvl>
    <w:lvl w:ilvl="7" w:tplc="04070019" w:tentative="1">
      <w:start w:val="1"/>
      <w:numFmt w:val="lowerLetter"/>
      <w:lvlText w:val="%8."/>
      <w:lvlJc w:val="left"/>
      <w:pPr>
        <w:ind w:left="4756" w:hanging="360"/>
      </w:pPr>
    </w:lvl>
    <w:lvl w:ilvl="8" w:tplc="0407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" w15:restartNumberingAfterBreak="0">
    <w:nsid w:val="07EF7C28"/>
    <w:multiLevelType w:val="hybridMultilevel"/>
    <w:tmpl w:val="D4403A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192E"/>
    <w:multiLevelType w:val="hybridMultilevel"/>
    <w:tmpl w:val="06401F58"/>
    <w:lvl w:ilvl="0" w:tplc="7DB06A78">
      <w:start w:val="2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1856591B"/>
    <w:multiLevelType w:val="hybridMultilevel"/>
    <w:tmpl w:val="5392617E"/>
    <w:lvl w:ilvl="0" w:tplc="D93A1C0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3BFD"/>
    <w:multiLevelType w:val="hybridMultilevel"/>
    <w:tmpl w:val="EB26BE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5637B"/>
    <w:multiLevelType w:val="hybridMultilevel"/>
    <w:tmpl w:val="6320257C"/>
    <w:lvl w:ilvl="0" w:tplc="78B67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84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4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D8E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4B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540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4E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C3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44AA2"/>
    <w:multiLevelType w:val="hybridMultilevel"/>
    <w:tmpl w:val="94F284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933E4"/>
    <w:multiLevelType w:val="hybridMultilevel"/>
    <w:tmpl w:val="2FE6E9B8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476A8"/>
    <w:multiLevelType w:val="hybridMultilevel"/>
    <w:tmpl w:val="BCE4FBAE"/>
    <w:lvl w:ilvl="0" w:tplc="A886C118">
      <w:start w:val="2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2" w:hanging="360"/>
      </w:pPr>
    </w:lvl>
    <w:lvl w:ilvl="2" w:tplc="0407001B" w:tentative="1">
      <w:start w:val="1"/>
      <w:numFmt w:val="lowerRoman"/>
      <w:lvlText w:val="%3."/>
      <w:lvlJc w:val="right"/>
      <w:pPr>
        <w:ind w:left="2652" w:hanging="180"/>
      </w:pPr>
    </w:lvl>
    <w:lvl w:ilvl="3" w:tplc="0407000F" w:tentative="1">
      <w:start w:val="1"/>
      <w:numFmt w:val="decimal"/>
      <w:lvlText w:val="%4."/>
      <w:lvlJc w:val="left"/>
      <w:pPr>
        <w:ind w:left="3372" w:hanging="360"/>
      </w:pPr>
    </w:lvl>
    <w:lvl w:ilvl="4" w:tplc="04070019" w:tentative="1">
      <w:start w:val="1"/>
      <w:numFmt w:val="lowerLetter"/>
      <w:lvlText w:val="%5."/>
      <w:lvlJc w:val="left"/>
      <w:pPr>
        <w:ind w:left="4092" w:hanging="360"/>
      </w:pPr>
    </w:lvl>
    <w:lvl w:ilvl="5" w:tplc="0407001B" w:tentative="1">
      <w:start w:val="1"/>
      <w:numFmt w:val="lowerRoman"/>
      <w:lvlText w:val="%6."/>
      <w:lvlJc w:val="right"/>
      <w:pPr>
        <w:ind w:left="4812" w:hanging="180"/>
      </w:pPr>
    </w:lvl>
    <w:lvl w:ilvl="6" w:tplc="0407000F" w:tentative="1">
      <w:start w:val="1"/>
      <w:numFmt w:val="decimal"/>
      <w:lvlText w:val="%7."/>
      <w:lvlJc w:val="left"/>
      <w:pPr>
        <w:ind w:left="5532" w:hanging="360"/>
      </w:pPr>
    </w:lvl>
    <w:lvl w:ilvl="7" w:tplc="04070019" w:tentative="1">
      <w:start w:val="1"/>
      <w:numFmt w:val="lowerLetter"/>
      <w:lvlText w:val="%8."/>
      <w:lvlJc w:val="left"/>
      <w:pPr>
        <w:ind w:left="6252" w:hanging="360"/>
      </w:pPr>
    </w:lvl>
    <w:lvl w:ilvl="8" w:tplc="04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492F4254"/>
    <w:multiLevelType w:val="hybridMultilevel"/>
    <w:tmpl w:val="DEB6A5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22DBE"/>
    <w:multiLevelType w:val="hybridMultilevel"/>
    <w:tmpl w:val="17CEA294"/>
    <w:lvl w:ilvl="0" w:tplc="B49A12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F354F"/>
    <w:multiLevelType w:val="hybridMultilevel"/>
    <w:tmpl w:val="BF6AB9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6550A"/>
    <w:multiLevelType w:val="hybridMultilevel"/>
    <w:tmpl w:val="7AA46374"/>
    <w:lvl w:ilvl="0" w:tplc="C2E4181E">
      <w:start w:val="2"/>
      <w:numFmt w:val="bullet"/>
      <w:lvlText w:val="–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74D5F02"/>
    <w:multiLevelType w:val="hybridMultilevel"/>
    <w:tmpl w:val="DC66F4DC"/>
    <w:lvl w:ilvl="0" w:tplc="D152F822">
      <w:start w:val="1"/>
      <w:numFmt w:val="lowerLetter"/>
      <w:lvlText w:val="%1)"/>
      <w:lvlJc w:val="left"/>
      <w:pPr>
        <w:ind w:left="2128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E4BDF"/>
    <w:multiLevelType w:val="hybridMultilevel"/>
    <w:tmpl w:val="9654C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86DA6"/>
    <w:multiLevelType w:val="hybridMultilevel"/>
    <w:tmpl w:val="AD668FDA"/>
    <w:lvl w:ilvl="0" w:tplc="E572EC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562E4"/>
    <w:multiLevelType w:val="hybridMultilevel"/>
    <w:tmpl w:val="4FF62B10"/>
    <w:lvl w:ilvl="0" w:tplc="756C205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3D5030A"/>
    <w:multiLevelType w:val="hybridMultilevel"/>
    <w:tmpl w:val="91DC0B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57236"/>
    <w:multiLevelType w:val="hybridMultilevel"/>
    <w:tmpl w:val="B2F8726C"/>
    <w:lvl w:ilvl="0" w:tplc="B5D67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F4675"/>
    <w:multiLevelType w:val="hybridMultilevel"/>
    <w:tmpl w:val="FEF0000A"/>
    <w:lvl w:ilvl="0" w:tplc="CF8231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2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5"/>
  </w:num>
  <w:num w:numId="12">
    <w:abstractNumId w:val="9"/>
  </w:num>
  <w:num w:numId="13">
    <w:abstractNumId w:val="10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1B714-AFCC-44D3-80B7-15921E70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/>
      <w:sz w:val="18"/>
    </w:r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styleId="Funotenzeichen">
    <w:name w:val="footnote reference"/>
    <w:uiPriority w:val="99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4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Listenabsatz">
    <w:name w:val="List Paragraph"/>
    <w:basedOn w:val="Standard"/>
    <w:uiPriority w:val="1"/>
    <w:qFormat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satz">
    <w:name w:val="satz"/>
    <w:basedOn w:val="Absatz-Standardschriftart"/>
  </w:style>
  <w:style w:type="character" w:customStyle="1" w:styleId="zit">
    <w:name w:val="zit"/>
    <w:basedOn w:val="Absatz-Standardschriftart"/>
  </w:style>
  <w:style w:type="paragraph" w:customStyle="1" w:styleId="aufz">
    <w:name w:val="aufz"/>
    <w:basedOn w:val="Standar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endend">
    <w:name w:val="aendend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fault">
    <w:name w:val="Default"/>
    <w:basedOn w:val="Standard"/>
    <w:uiPriority w:val="99"/>
    <w:pPr>
      <w:autoSpaceDE w:val="0"/>
      <w:autoSpaceDN w:val="0"/>
      <w:jc w:val="left"/>
    </w:pPr>
    <w:rPr>
      <w:rFonts w:eastAsiaTheme="minorHAnsi" w:cs="Arial"/>
      <w:color w:val="000000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paragr">
    <w:name w:val="paragr"/>
    <w:basedOn w:val="Absatz-Standardschriftart"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customStyle="1" w:styleId="unsichtbar">
    <w:name w:val="unsichtbar"/>
    <w:basedOn w:val="Absatz-Standardschriftart"/>
  </w:style>
  <w:style w:type="character" w:customStyle="1" w:styleId="satznr">
    <w:name w:val="satznr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absnr">
    <w:name w:val="absnr"/>
    <w:basedOn w:val="Absatz-Standardschriftart"/>
  </w:style>
  <w:style w:type="character" w:customStyle="1" w:styleId="ltitle">
    <w:name w:val="ltitle"/>
    <w:basedOn w:val="Absatz-Standardschriftart"/>
  </w:style>
  <w:style w:type="character" w:customStyle="1" w:styleId="regabbrev">
    <w:name w:val="regabbrev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001A-1FDC-421D-8F95-1E1DF0B5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Berlig Gerhard</dc:creator>
  <cp:keywords/>
  <dc:description/>
  <cp:lastModifiedBy>Palaschinski Arthur</cp:lastModifiedBy>
  <cp:revision>2</cp:revision>
  <cp:lastPrinted>2021-02-05T15:00:00Z</cp:lastPrinted>
  <dcterms:created xsi:type="dcterms:W3CDTF">2021-05-28T10:09:00Z</dcterms:created>
  <dcterms:modified xsi:type="dcterms:W3CDTF">2021-05-28T10:09:00Z</dcterms:modified>
</cp:coreProperties>
</file>